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1A23" w14:textId="77777777" w:rsidR="00A60DD8" w:rsidRPr="00A60DD8" w:rsidRDefault="00A60DD8" w:rsidP="005166FE">
      <w:pPr>
        <w:pStyle w:val="papertitle"/>
        <w:rPr>
          <w:rFonts w:ascii="Arial" w:hAnsi="Arial" w:cs="Arial"/>
          <w:sz w:val="28"/>
          <w:szCs w:val="28"/>
          <w:lang w:val="en-US"/>
        </w:rPr>
      </w:pPr>
      <w:r w:rsidRPr="00A60DD8">
        <w:rPr>
          <w:rFonts w:ascii="Arial" w:hAnsi="Arial" w:cs="Arial"/>
          <w:sz w:val="28"/>
          <w:szCs w:val="28"/>
          <w:lang w:val="en-US"/>
        </w:rPr>
        <w:t>REXS2025- International Conference on Resonant Elastic X-ray Scattering</w:t>
      </w:r>
    </w:p>
    <w:p w14:paraId="0B06A2FC" w14:textId="77777777" w:rsidR="005166FE" w:rsidRPr="002E40F1" w:rsidRDefault="00D37EFC" w:rsidP="005166FE">
      <w:pPr>
        <w:pStyle w:val="paper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US"/>
        </w:rPr>
        <w:t xml:space="preserve">Variable out-of-plane magnetic field </w:t>
      </w:r>
      <w:r w:rsidR="00231B20">
        <w:rPr>
          <w:rFonts w:ascii="Arial" w:hAnsi="Arial" w:cs="Arial"/>
          <w:lang w:val="en-US"/>
        </w:rPr>
        <w:t xml:space="preserve">for soft x-ray resonant magnetic </w:t>
      </w:r>
      <w:r w:rsidR="001B1861">
        <w:rPr>
          <w:rFonts w:ascii="Arial" w:hAnsi="Arial" w:cs="Arial"/>
          <w:lang w:val="en-US"/>
        </w:rPr>
        <w:t>reflectivity</w:t>
      </w:r>
    </w:p>
    <w:p w14:paraId="18A7511A" w14:textId="6EC1E2CC" w:rsidR="005166FE" w:rsidRPr="00D37EFC" w:rsidRDefault="00D37EFC" w:rsidP="005166FE">
      <w:pPr>
        <w:pStyle w:val="paperauthor"/>
        <w:rPr>
          <w:rFonts w:ascii="Arial" w:hAnsi="Arial" w:cs="Arial"/>
        </w:rPr>
      </w:pPr>
      <w:r w:rsidRPr="00D37EFC">
        <w:rPr>
          <w:rFonts w:ascii="Arial" w:hAnsi="Arial" w:cs="Arial"/>
        </w:rPr>
        <w:t>J.-M. Tonnerre</w:t>
      </w:r>
      <w:r w:rsidRPr="00D37EFC">
        <w:rPr>
          <w:rFonts w:ascii="Arial" w:hAnsi="Arial" w:cs="Arial"/>
          <w:vertAlign w:val="superscript"/>
        </w:rPr>
        <w:t>1,2</w:t>
      </w:r>
      <w:r w:rsidRPr="00D37E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J. Lacipière</w:t>
      </w:r>
      <w:r w:rsidRPr="00D37EF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G. Kapoujyan</w:t>
      </w:r>
      <w:r w:rsidRPr="00D37EF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P. Jeantet</w:t>
      </w:r>
      <w:r w:rsidRPr="00D37EF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E. Roy</w:t>
      </w:r>
      <w:r w:rsidRPr="00D37EF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F. Fettar</w:t>
      </w:r>
      <w:r w:rsidRPr="00D37EF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A165A8">
        <w:rPr>
          <w:rFonts w:ascii="Arial" w:hAnsi="Arial" w:cs="Arial"/>
        </w:rPr>
        <w:t>E. Contin</w:t>
      </w:r>
      <w:r w:rsidR="00A165A8" w:rsidRPr="00CE42B5">
        <w:rPr>
          <w:rFonts w:ascii="Arial" w:hAnsi="Arial" w:cs="Arial"/>
          <w:vertAlign w:val="superscript"/>
        </w:rPr>
        <w:t>2</w:t>
      </w:r>
      <w:r w:rsidR="00A165A8">
        <w:rPr>
          <w:rFonts w:ascii="Arial" w:hAnsi="Arial" w:cs="Arial"/>
        </w:rPr>
        <w:t>, S</w:t>
      </w:r>
      <w:r>
        <w:rPr>
          <w:rFonts w:ascii="Arial" w:hAnsi="Arial" w:cs="Arial"/>
        </w:rPr>
        <w:t>. Lorcy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R. Gaudemer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H. Pope</w:t>
      </w:r>
      <w:r w:rsidR="00091CA4">
        <w:rPr>
          <w:rFonts w:ascii="Arial" w:hAnsi="Arial" w:cs="Arial"/>
        </w:rPr>
        <w:t>s</w:t>
      </w:r>
      <w:r>
        <w:rPr>
          <w:rFonts w:ascii="Arial" w:hAnsi="Arial" w:cs="Arial"/>
        </w:rPr>
        <w:t>cu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D37EFC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Jaouen</w:t>
      </w:r>
      <w:r>
        <w:rPr>
          <w:rFonts w:ascii="Arial" w:hAnsi="Arial" w:cs="Arial"/>
          <w:vertAlign w:val="superscript"/>
        </w:rPr>
        <w:t>2</w:t>
      </w:r>
    </w:p>
    <w:p w14:paraId="65DF04B8" w14:textId="77777777" w:rsidR="00231B20" w:rsidRDefault="00231B20" w:rsidP="005166FE">
      <w:pPr>
        <w:pStyle w:val="authoraffiliation"/>
        <w:rPr>
          <w:rFonts w:ascii="Arial" w:hAnsi="Arial" w:cs="Arial"/>
        </w:rPr>
      </w:pPr>
      <w:r w:rsidRPr="00231B20">
        <w:rPr>
          <w:rFonts w:ascii="Arial" w:hAnsi="Arial" w:cs="Arial"/>
          <w:vertAlign w:val="superscript"/>
        </w:rPr>
        <w:t>1</w:t>
      </w:r>
      <w:r w:rsidRPr="00231B20">
        <w:rPr>
          <w:rFonts w:ascii="Arial" w:hAnsi="Arial" w:cs="Arial"/>
        </w:rPr>
        <w:t xml:space="preserve">Université Grenoble Alpes, CNRS, Grenoble INP, Institut </w:t>
      </w:r>
      <w:proofErr w:type="spellStart"/>
      <w:r w:rsidRPr="00231B20">
        <w:rPr>
          <w:rFonts w:ascii="Arial" w:hAnsi="Arial" w:cs="Arial"/>
        </w:rPr>
        <w:t>Néel</w:t>
      </w:r>
      <w:proofErr w:type="spellEnd"/>
      <w:r w:rsidRPr="00231B20">
        <w:rPr>
          <w:rFonts w:ascii="Arial" w:hAnsi="Arial" w:cs="Arial"/>
        </w:rPr>
        <w:t xml:space="preserve">, 38042 Grenoble, </w:t>
      </w:r>
      <w:r>
        <w:rPr>
          <w:rFonts w:ascii="Arial" w:hAnsi="Arial" w:cs="Arial"/>
        </w:rPr>
        <w:t>France</w:t>
      </w:r>
    </w:p>
    <w:p w14:paraId="37C5027A" w14:textId="184CE744" w:rsidR="005166FE" w:rsidRPr="00231B20" w:rsidRDefault="00A649CD" w:rsidP="005166FE">
      <w:pPr>
        <w:pStyle w:val="authoraffiliation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231B20">
        <w:rPr>
          <w:rFonts w:ascii="Calibri" w:hAnsi="Calibri" w:cs="Calibri"/>
          <w:sz w:val="22"/>
          <w:szCs w:val="22"/>
        </w:rPr>
        <w:t>Synchrotron SOLEIL, Saint-Aubin, Boite Postale 48, 91192 Gif-sur-Yvette Cedex, France</w:t>
      </w:r>
      <w:r w:rsidR="00231B20" w:rsidRPr="00231B20">
        <w:rPr>
          <w:rFonts w:ascii="Arial" w:hAnsi="Arial" w:cs="Arial"/>
          <w:b/>
          <w:color w:val="0000FF"/>
        </w:rPr>
        <w:t xml:space="preserve"> </w:t>
      </w:r>
    </w:p>
    <w:p w14:paraId="1BFCD0EC" w14:textId="77777777" w:rsidR="003F50AD" w:rsidRPr="00A649CD" w:rsidRDefault="003F50AD" w:rsidP="003A5C32">
      <w:pPr>
        <w:pStyle w:val="paragraph"/>
        <w:rPr>
          <w:rFonts w:ascii="Arial" w:hAnsi="Arial" w:cs="Arial"/>
          <w:sz w:val="22"/>
          <w:szCs w:val="22"/>
        </w:rPr>
      </w:pPr>
    </w:p>
    <w:p w14:paraId="4CE7B5F7" w14:textId="77777777" w:rsidR="003A5C32" w:rsidRDefault="005D5D63" w:rsidP="003A5C32">
      <w:pPr>
        <w:pStyle w:val="paragraph"/>
        <w:rPr>
          <w:rFonts w:ascii="Arial" w:hAnsi="Arial" w:cs="Arial"/>
          <w:sz w:val="22"/>
          <w:szCs w:val="22"/>
          <w:lang w:val="en-US"/>
        </w:rPr>
      </w:pPr>
      <w:r w:rsidRPr="005D5D63">
        <w:rPr>
          <w:rFonts w:ascii="Arial" w:hAnsi="Arial" w:cs="Arial"/>
          <w:sz w:val="22"/>
          <w:szCs w:val="22"/>
          <w:lang w:val="en-US"/>
        </w:rPr>
        <w:t xml:space="preserve">It has been known that soft </w:t>
      </w:r>
      <w:r w:rsidR="000108C6">
        <w:rPr>
          <w:rFonts w:ascii="Arial" w:hAnsi="Arial" w:cs="Arial"/>
          <w:sz w:val="22"/>
          <w:szCs w:val="22"/>
          <w:lang w:val="en-US"/>
        </w:rPr>
        <w:t>x</w:t>
      </w:r>
      <w:r w:rsidRPr="005D5D63">
        <w:rPr>
          <w:rFonts w:ascii="Arial" w:hAnsi="Arial" w:cs="Arial"/>
          <w:sz w:val="22"/>
          <w:szCs w:val="22"/>
          <w:lang w:val="en-US"/>
        </w:rPr>
        <w:t>-ray magnetic reflectivity is a technique for studying the magnetization profile, and therefore interfacial effects, in thin films with perpendicular magnetic anisotropy</w:t>
      </w:r>
      <w:r w:rsidR="00C86F1E">
        <w:rPr>
          <w:rFonts w:ascii="Arial" w:hAnsi="Arial" w:cs="Arial"/>
          <w:sz w:val="22"/>
          <w:szCs w:val="22"/>
          <w:lang w:val="en-US"/>
        </w:rPr>
        <w:t xml:space="preserve"> </w:t>
      </w:r>
      <w:r w:rsidR="00C86F1E" w:rsidRPr="005D5D63">
        <w:rPr>
          <w:rFonts w:ascii="Arial" w:hAnsi="Arial" w:cs="Arial"/>
          <w:sz w:val="22"/>
          <w:szCs w:val="22"/>
          <w:lang w:val="en-US"/>
        </w:rPr>
        <w:t>[1]</w:t>
      </w:r>
      <w:r w:rsidRPr="005D5D63">
        <w:rPr>
          <w:rFonts w:ascii="Arial" w:hAnsi="Arial" w:cs="Arial"/>
          <w:sz w:val="22"/>
          <w:szCs w:val="22"/>
          <w:lang w:val="en-US"/>
        </w:rPr>
        <w:t>. This specificity is related to</w:t>
      </w:r>
      <w:r w:rsidR="000108C6">
        <w:rPr>
          <w:rFonts w:ascii="Arial" w:hAnsi="Arial" w:cs="Arial"/>
          <w:sz w:val="22"/>
          <w:szCs w:val="22"/>
          <w:lang w:val="en-US"/>
        </w:rPr>
        <w:t xml:space="preserve"> </w:t>
      </w:r>
      <w:r w:rsidRPr="005D5D63">
        <w:rPr>
          <w:rFonts w:ascii="Arial" w:hAnsi="Arial" w:cs="Arial"/>
          <w:sz w:val="22"/>
          <w:szCs w:val="22"/>
          <w:lang w:val="en-US"/>
        </w:rPr>
        <w:t>the photon wavelength</w:t>
      </w:r>
      <w:r w:rsidR="000108C6">
        <w:rPr>
          <w:rFonts w:ascii="Arial" w:hAnsi="Arial" w:cs="Arial"/>
          <w:sz w:val="22"/>
          <w:szCs w:val="22"/>
          <w:lang w:val="en-US"/>
        </w:rPr>
        <w:t xml:space="preserve"> in the energy range</w:t>
      </w:r>
      <w:r w:rsidRPr="005D5D63">
        <w:rPr>
          <w:rFonts w:ascii="Arial" w:hAnsi="Arial" w:cs="Arial"/>
          <w:sz w:val="22"/>
          <w:szCs w:val="22"/>
          <w:lang w:val="en-US"/>
        </w:rPr>
        <w:t>, which allows measuring the reflectivity at very large angles and therefore being sensitive to the out-of-plane component of the magnetization [</w:t>
      </w:r>
      <w:r w:rsidR="003F50AD">
        <w:rPr>
          <w:rFonts w:ascii="Arial" w:hAnsi="Arial" w:cs="Arial"/>
          <w:sz w:val="22"/>
          <w:szCs w:val="22"/>
          <w:lang w:val="en-US"/>
        </w:rPr>
        <w:t>2</w:t>
      </w:r>
      <w:r w:rsidRPr="005D5D63">
        <w:rPr>
          <w:rFonts w:ascii="Arial" w:hAnsi="Arial" w:cs="Arial"/>
          <w:sz w:val="22"/>
          <w:szCs w:val="22"/>
          <w:lang w:val="en-US"/>
        </w:rPr>
        <w:t xml:space="preserve">]. Until now, studies were limited to </w:t>
      </w:r>
      <w:r w:rsidR="000108C6">
        <w:rPr>
          <w:rFonts w:ascii="Arial" w:hAnsi="Arial" w:cs="Arial"/>
          <w:sz w:val="22"/>
          <w:szCs w:val="22"/>
          <w:lang w:val="en-US"/>
        </w:rPr>
        <w:t xml:space="preserve">magnetic layers </w:t>
      </w:r>
      <w:r w:rsidRPr="005D5D63">
        <w:rPr>
          <w:rFonts w:ascii="Arial" w:hAnsi="Arial" w:cs="Arial"/>
          <w:sz w:val="22"/>
          <w:szCs w:val="22"/>
          <w:lang w:val="en-US"/>
        </w:rPr>
        <w:t>whose magnetization was close to saturation at remanence [1,3,</w:t>
      </w:r>
      <w:r w:rsidR="003F50AD">
        <w:rPr>
          <w:rFonts w:ascii="Arial" w:hAnsi="Arial" w:cs="Arial"/>
          <w:sz w:val="22"/>
          <w:szCs w:val="22"/>
          <w:lang w:val="en-US"/>
        </w:rPr>
        <w:t>4</w:t>
      </w:r>
      <w:r w:rsidRPr="005D5D63">
        <w:rPr>
          <w:rFonts w:ascii="Arial" w:hAnsi="Arial" w:cs="Arial"/>
          <w:sz w:val="22"/>
          <w:szCs w:val="22"/>
          <w:lang w:val="en-US"/>
        </w:rPr>
        <w:t>]</w:t>
      </w:r>
      <w:r w:rsidR="00C86F1E">
        <w:rPr>
          <w:rFonts w:ascii="Arial" w:hAnsi="Arial" w:cs="Arial"/>
          <w:sz w:val="22"/>
          <w:szCs w:val="22"/>
          <w:lang w:val="en-US"/>
        </w:rPr>
        <w:t>.</w:t>
      </w:r>
    </w:p>
    <w:p w14:paraId="703CA277" w14:textId="1CE5E32F" w:rsidR="00B23A26" w:rsidRDefault="001B1861" w:rsidP="00B23A26">
      <w:pPr>
        <w:pStyle w:val="paragrap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 report on the implementation of a new magnetic device in the RESOXS chamber dedicated to x-ray resonant magnetic scattering and reflectivity in the soft x-ray range at the SEXTANTS beam line at SOLEIL. </w:t>
      </w:r>
      <w:r w:rsidR="000108C6">
        <w:rPr>
          <w:rFonts w:ascii="Arial" w:hAnsi="Arial" w:cs="Arial"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>ased on five water</w:t>
      </w:r>
      <w:r w:rsidR="000108C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cooled coils</w:t>
      </w:r>
      <w:r w:rsidR="00203A44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0108C6">
        <w:rPr>
          <w:rFonts w:ascii="Arial" w:hAnsi="Arial" w:cs="Arial"/>
          <w:sz w:val="22"/>
          <w:szCs w:val="22"/>
          <w:lang w:val="en-US"/>
        </w:rPr>
        <w:t xml:space="preserve">it </w:t>
      </w:r>
      <w:r>
        <w:rPr>
          <w:rFonts w:ascii="Arial" w:hAnsi="Arial" w:cs="Arial"/>
          <w:sz w:val="22"/>
          <w:szCs w:val="22"/>
          <w:lang w:val="en-US"/>
        </w:rPr>
        <w:t xml:space="preserve">allows not only to applied the magnetic field in all the directions in the sample plane but also perpendicular to it. The amplitude of </w:t>
      </w:r>
      <w:r w:rsidR="007316CE">
        <w:rPr>
          <w:rFonts w:ascii="Arial" w:hAnsi="Arial" w:cs="Arial"/>
          <w:sz w:val="22"/>
          <w:szCs w:val="22"/>
          <w:lang w:val="en-US"/>
        </w:rPr>
        <w:t xml:space="preserve">the field </w:t>
      </w:r>
      <w:r>
        <w:rPr>
          <w:rFonts w:ascii="Arial" w:hAnsi="Arial" w:cs="Arial"/>
          <w:sz w:val="22"/>
          <w:szCs w:val="22"/>
          <w:lang w:val="en-US"/>
        </w:rPr>
        <w:t>can be varied from -0.7 to +0.7T in the sample plane</w:t>
      </w:r>
      <w:r w:rsidR="005F1AEC">
        <w:rPr>
          <w:rFonts w:ascii="Arial" w:hAnsi="Arial" w:cs="Arial"/>
          <w:sz w:val="22"/>
          <w:szCs w:val="22"/>
          <w:lang w:val="en-US"/>
        </w:rPr>
        <w:t xml:space="preserve">, which represents an increase </w:t>
      </w:r>
      <w:r w:rsidR="007316CE">
        <w:rPr>
          <w:rFonts w:ascii="Arial" w:hAnsi="Arial" w:cs="Arial"/>
          <w:sz w:val="22"/>
          <w:szCs w:val="22"/>
          <w:lang w:val="en-US"/>
        </w:rPr>
        <w:t xml:space="preserve">by a factor 3.5 with respect to the initial device, and </w:t>
      </w:r>
      <w:r>
        <w:rPr>
          <w:rFonts w:ascii="Arial" w:hAnsi="Arial" w:cs="Arial"/>
          <w:sz w:val="22"/>
          <w:szCs w:val="22"/>
          <w:lang w:val="en-US"/>
        </w:rPr>
        <w:t>from -0.4 to +0.4T out-of-plan</w:t>
      </w:r>
      <w:r w:rsidR="00203A44">
        <w:rPr>
          <w:rFonts w:ascii="Arial" w:hAnsi="Arial" w:cs="Arial"/>
          <w:sz w:val="22"/>
          <w:szCs w:val="22"/>
          <w:lang w:val="en-US"/>
        </w:rPr>
        <w:t xml:space="preserve">e </w:t>
      </w:r>
      <w:r>
        <w:rPr>
          <w:rFonts w:ascii="Arial" w:hAnsi="Arial" w:cs="Arial"/>
          <w:sz w:val="22"/>
          <w:szCs w:val="22"/>
          <w:lang w:val="en-US"/>
        </w:rPr>
        <w:t>(</w:t>
      </w:r>
      <w:r w:rsidR="00203A44">
        <w:rPr>
          <w:rFonts w:ascii="Arial" w:hAnsi="Arial" w:cs="Arial"/>
          <w:sz w:val="22"/>
          <w:szCs w:val="22"/>
          <w:lang w:val="en-US"/>
        </w:rPr>
        <w:t xml:space="preserve">-0.7 to 0.7 is aimed </w:t>
      </w:r>
      <w:r w:rsidR="007316CE">
        <w:rPr>
          <w:rFonts w:ascii="Arial" w:hAnsi="Arial" w:cs="Arial"/>
          <w:sz w:val="22"/>
          <w:szCs w:val="22"/>
          <w:lang w:val="en-US"/>
        </w:rPr>
        <w:t>shortly</w:t>
      </w:r>
      <w:r w:rsidR="00203A44">
        <w:rPr>
          <w:rFonts w:ascii="Arial" w:hAnsi="Arial" w:cs="Arial"/>
          <w:sz w:val="22"/>
          <w:szCs w:val="22"/>
          <w:lang w:val="en-US"/>
        </w:rPr>
        <w:t>)</w:t>
      </w:r>
      <w:r w:rsidR="007316CE">
        <w:rPr>
          <w:rFonts w:ascii="Arial" w:hAnsi="Arial" w:cs="Arial"/>
          <w:sz w:val="22"/>
          <w:szCs w:val="22"/>
          <w:lang w:val="en-US"/>
        </w:rPr>
        <w:t xml:space="preserve"> which is unique in the world to the best of our knowledge</w:t>
      </w:r>
      <w:r w:rsidR="00203A44">
        <w:rPr>
          <w:rFonts w:ascii="Arial" w:hAnsi="Arial" w:cs="Arial"/>
          <w:sz w:val="22"/>
          <w:szCs w:val="22"/>
          <w:lang w:val="en-US"/>
        </w:rPr>
        <w:t xml:space="preserve">. </w:t>
      </w:r>
      <w:r w:rsidR="001E3746" w:rsidRPr="001E3746">
        <w:rPr>
          <w:rFonts w:ascii="Arial" w:hAnsi="Arial" w:cs="Arial"/>
          <w:sz w:val="22"/>
          <w:szCs w:val="22"/>
          <w:lang w:val="en-US"/>
        </w:rPr>
        <w:t>The magnetization device allows reflectivity measurements over a large angular range, from 0 to 72° in the horizontal plane.</w:t>
      </w:r>
      <w:r w:rsidR="00CA58C1">
        <w:rPr>
          <w:rFonts w:ascii="Arial" w:hAnsi="Arial" w:cs="Arial"/>
          <w:sz w:val="22"/>
          <w:szCs w:val="22"/>
          <w:lang w:val="en-US"/>
        </w:rPr>
        <w:t xml:space="preserve"> </w:t>
      </w:r>
      <w:r w:rsidR="00F437A3" w:rsidRPr="00F437A3">
        <w:rPr>
          <w:rFonts w:ascii="Arial" w:hAnsi="Arial" w:cs="Arial"/>
          <w:sz w:val="22"/>
          <w:szCs w:val="22"/>
          <w:lang w:val="en-US"/>
        </w:rPr>
        <w:t xml:space="preserve">The device capabilities (Fig. 1a) are illustrated by out-of-plane hysteresis loops exhibiting inversion sequences of 2- and 5-layer magnetic heterostructures at large and small </w:t>
      </w:r>
      <w:r w:rsidR="00F437A3">
        <w:rPr>
          <w:rFonts w:ascii="Arial" w:hAnsi="Arial" w:cs="Arial"/>
          <w:sz w:val="22"/>
          <w:szCs w:val="22"/>
          <w:lang w:val="en-US"/>
        </w:rPr>
        <w:t xml:space="preserve">applied </w:t>
      </w:r>
      <w:r w:rsidR="00F437A3" w:rsidRPr="00F437A3">
        <w:rPr>
          <w:rFonts w:ascii="Arial" w:hAnsi="Arial" w:cs="Arial"/>
          <w:sz w:val="22"/>
          <w:szCs w:val="22"/>
          <w:lang w:val="en-US"/>
        </w:rPr>
        <w:t>field, respectively (Figs. 1a and 1b). Figure 1c displays the magnetic asymmetry variations at 3 particular field values</w:t>
      </w:r>
      <w:r w:rsidR="00F437A3">
        <w:rPr>
          <w:rFonts w:ascii="Arial" w:hAnsi="Arial" w:cs="Arial"/>
          <w:sz w:val="22"/>
          <w:szCs w:val="22"/>
          <w:lang w:val="en-US"/>
        </w:rPr>
        <w:t xml:space="preserve"> </w:t>
      </w:r>
      <w:r w:rsidR="00F437A3" w:rsidRPr="00F437A3">
        <w:rPr>
          <w:rFonts w:ascii="Arial" w:hAnsi="Arial" w:cs="Arial"/>
          <w:sz w:val="22"/>
          <w:szCs w:val="22"/>
          <w:lang w:val="en-US"/>
        </w:rPr>
        <w:t xml:space="preserve">for the latter. A reorganization of a </w:t>
      </w:r>
      <w:proofErr w:type="spellStart"/>
      <w:r w:rsidR="00F437A3" w:rsidRPr="00F437A3">
        <w:rPr>
          <w:rFonts w:ascii="Arial" w:hAnsi="Arial" w:cs="Arial"/>
          <w:sz w:val="22"/>
          <w:szCs w:val="22"/>
          <w:lang w:val="en-US"/>
        </w:rPr>
        <w:t>skyrmion</w:t>
      </w:r>
      <w:proofErr w:type="spellEnd"/>
      <w:r w:rsidR="00F437A3" w:rsidRPr="00F437A3">
        <w:rPr>
          <w:rFonts w:ascii="Arial" w:hAnsi="Arial" w:cs="Arial"/>
          <w:sz w:val="22"/>
          <w:szCs w:val="22"/>
          <w:lang w:val="en-US"/>
        </w:rPr>
        <w:t xml:space="preserve"> lattice induced by out-of-plane </w:t>
      </w:r>
      <w:r w:rsidR="00F437A3">
        <w:rPr>
          <w:rFonts w:ascii="Arial" w:hAnsi="Arial" w:cs="Arial"/>
          <w:sz w:val="22"/>
          <w:szCs w:val="22"/>
          <w:lang w:val="en-US"/>
        </w:rPr>
        <w:t>field</w:t>
      </w:r>
      <w:r w:rsidR="00F437A3" w:rsidRPr="00F437A3">
        <w:rPr>
          <w:rFonts w:ascii="Arial" w:hAnsi="Arial" w:cs="Arial"/>
          <w:sz w:val="22"/>
          <w:szCs w:val="22"/>
          <w:lang w:val="en-US"/>
        </w:rPr>
        <w:t xml:space="preserve"> was also </w:t>
      </w:r>
      <w:r w:rsidR="00647B10">
        <w:rPr>
          <w:rFonts w:ascii="Arial" w:hAnsi="Arial" w:cs="Arial"/>
          <w:sz w:val="22"/>
          <w:szCs w:val="22"/>
          <w:lang w:val="en-US"/>
        </w:rPr>
        <w:t>evidenced</w:t>
      </w:r>
      <w:r w:rsidR="00B23A26">
        <w:rPr>
          <w:rFonts w:ascii="Arial" w:hAnsi="Arial" w:cs="Arial"/>
          <w:sz w:val="22"/>
          <w:szCs w:val="22"/>
          <w:lang w:val="en-US"/>
        </w:rPr>
        <w:t xml:space="preserve"> </w:t>
      </w:r>
      <w:r w:rsidR="00BB021F">
        <w:rPr>
          <w:rFonts w:ascii="Arial" w:hAnsi="Arial" w:cs="Arial"/>
          <w:sz w:val="22"/>
          <w:szCs w:val="22"/>
          <w:lang w:val="en-US"/>
        </w:rPr>
        <w:t xml:space="preserve">(Fig. 1e) </w:t>
      </w:r>
      <w:r w:rsidR="00B23A26">
        <w:rPr>
          <w:rFonts w:ascii="Arial" w:hAnsi="Arial" w:cs="Arial"/>
          <w:sz w:val="22"/>
          <w:szCs w:val="22"/>
          <w:lang w:val="en-US"/>
        </w:rPr>
        <w:t xml:space="preserve">using CD-REXS </w:t>
      </w:r>
      <w:r w:rsidR="00B23A26" w:rsidRPr="005D5D63">
        <w:rPr>
          <w:rFonts w:ascii="Arial" w:hAnsi="Arial" w:cs="Arial"/>
          <w:sz w:val="22"/>
          <w:szCs w:val="22"/>
          <w:lang w:val="en-US"/>
        </w:rPr>
        <w:t>[</w:t>
      </w:r>
      <w:r w:rsidR="00B23A26">
        <w:rPr>
          <w:rFonts w:ascii="Arial" w:hAnsi="Arial" w:cs="Arial"/>
          <w:sz w:val="22"/>
          <w:szCs w:val="22"/>
          <w:lang w:val="en-US"/>
        </w:rPr>
        <w:t>5</w:t>
      </w:r>
      <w:r w:rsidR="00B23A26" w:rsidRPr="005D5D63">
        <w:rPr>
          <w:rFonts w:ascii="Arial" w:hAnsi="Arial" w:cs="Arial"/>
          <w:sz w:val="22"/>
          <w:szCs w:val="22"/>
          <w:lang w:val="en-US"/>
        </w:rPr>
        <w:t>]</w:t>
      </w:r>
      <w:r w:rsidR="00A3607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3E8076F" w14:textId="67F10667" w:rsidR="00A649CD" w:rsidRPr="002C4403" w:rsidRDefault="00A649CD" w:rsidP="00B23A26">
      <w:pPr>
        <w:pStyle w:val="paragrap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4"/>
        <w:gridCol w:w="3238"/>
      </w:tblGrid>
      <w:tr w:rsidR="003F50AD" w:rsidRPr="00601ECF" w14:paraId="191A6EBD" w14:textId="77777777" w:rsidTr="00A649CD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14:paraId="613191FC" w14:textId="55289A00" w:rsidR="003F50AD" w:rsidRPr="00601ECF" w:rsidRDefault="005510FF" w:rsidP="005510FF">
            <w:pPr>
              <w:pStyle w:val="paragraph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21C929B8" wp14:editId="08072837">
                  <wp:extent cx="3567448" cy="1518330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601" cy="152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45BA59F9" w14:textId="248F84D2" w:rsidR="003F50AD" w:rsidRPr="00601ECF" w:rsidRDefault="00A36073" w:rsidP="005510FF">
            <w:pPr>
              <w:pStyle w:val="paragraph"/>
              <w:ind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64B1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220E5B" wp14:editId="1F64F7A0">
                      <wp:simplePos x="0" y="0"/>
                      <wp:positionH relativeFrom="column">
                        <wp:posOffset>292735</wp:posOffset>
                      </wp:positionH>
                      <wp:positionV relativeFrom="page">
                        <wp:posOffset>443230</wp:posOffset>
                      </wp:positionV>
                      <wp:extent cx="361950" cy="27305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46D1" w14:textId="20D642D7" w:rsidR="00A36073" w:rsidRPr="00A36073" w:rsidRDefault="00A36073" w:rsidP="00A3607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360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A3607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20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3.05pt;margin-top:34.9pt;width:28.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" filled="f" stroked="f">
                      <v:textbox>
                        <w:txbxContent>
                          <w:p w14:paraId="146146D1" w14:textId="20D642D7" w:rsidR="00A36073" w:rsidRPr="00A36073" w:rsidRDefault="00A36073" w:rsidP="00A3607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360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A3607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510FF">
              <w:rPr>
                <w:rFonts w:ascii="Arial" w:hAnsi="Arial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3D522CD2" wp14:editId="5E83B12D">
                  <wp:extent cx="1881659" cy="1459605"/>
                  <wp:effectExtent l="0" t="0" r="4445" b="762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236" cy="146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4087F" w14:textId="77777777" w:rsidR="00A36073" w:rsidRDefault="00A36073" w:rsidP="00647B10">
      <w:pPr>
        <w:pStyle w:val="reference"/>
        <w:rPr>
          <w:rFonts w:ascii="Arial" w:hAnsi="Arial" w:cs="Arial"/>
          <w:sz w:val="15"/>
          <w:szCs w:val="15"/>
        </w:rPr>
      </w:pPr>
    </w:p>
    <w:p w14:paraId="261714DD" w14:textId="17162772" w:rsidR="00647B10" w:rsidRPr="00647B10" w:rsidRDefault="005166FE" w:rsidP="00647B10">
      <w:pPr>
        <w:pStyle w:val="reference"/>
        <w:rPr>
          <w:rFonts w:ascii="Arial" w:hAnsi="Arial" w:cs="Arial"/>
          <w:sz w:val="15"/>
          <w:szCs w:val="15"/>
        </w:rPr>
      </w:pPr>
      <w:r w:rsidRPr="00601DEC">
        <w:rPr>
          <w:rFonts w:ascii="Arial" w:hAnsi="Arial" w:cs="Arial"/>
          <w:sz w:val="15"/>
          <w:szCs w:val="15"/>
        </w:rPr>
        <w:t xml:space="preserve">1. </w:t>
      </w:r>
      <w:bookmarkStart w:id="0" w:name="Name1"/>
      <w:bookmarkEnd w:id="0"/>
      <w:r w:rsidR="00647B10" w:rsidRPr="00647B10">
        <w:rPr>
          <w:rFonts w:ascii="Arial" w:hAnsi="Arial" w:cs="Arial"/>
          <w:sz w:val="15"/>
          <w:szCs w:val="15"/>
        </w:rPr>
        <w:t>J.-M. Tonnerre</w:t>
      </w:r>
      <w:r w:rsidR="00B23A26">
        <w:rPr>
          <w:rFonts w:ascii="Arial" w:hAnsi="Arial" w:cs="Arial"/>
          <w:sz w:val="15"/>
          <w:szCs w:val="15"/>
        </w:rPr>
        <w:t xml:space="preserve"> </w:t>
      </w:r>
      <w:r w:rsidR="00B23A26" w:rsidRPr="00B23A26">
        <w:rPr>
          <w:rFonts w:ascii="Arial" w:hAnsi="Arial" w:cs="Arial"/>
          <w:i/>
          <w:iCs/>
          <w:sz w:val="15"/>
          <w:szCs w:val="15"/>
        </w:rPr>
        <w:t>et al.</w:t>
      </w:r>
      <w:r w:rsidR="00647B10" w:rsidRPr="00B23A26">
        <w:rPr>
          <w:rFonts w:ascii="Arial" w:hAnsi="Arial" w:cs="Arial"/>
          <w:i/>
          <w:iCs/>
          <w:sz w:val="15"/>
          <w:szCs w:val="15"/>
        </w:rPr>
        <w:t>,</w:t>
      </w:r>
      <w:r w:rsidR="00647B10" w:rsidRPr="00647B10">
        <w:rPr>
          <w:rFonts w:ascii="Arial" w:hAnsi="Arial" w:cs="Arial"/>
          <w:sz w:val="15"/>
          <w:szCs w:val="15"/>
        </w:rPr>
        <w:t xml:space="preserve"> Phys. </w:t>
      </w:r>
      <w:proofErr w:type="spellStart"/>
      <w:r w:rsidR="00647B10" w:rsidRPr="00091CA4">
        <w:rPr>
          <w:rFonts w:ascii="Arial" w:hAnsi="Arial" w:cs="Arial"/>
          <w:sz w:val="15"/>
          <w:szCs w:val="15"/>
        </w:rPr>
        <w:t>Rev</w:t>
      </w:r>
      <w:proofErr w:type="spellEnd"/>
      <w:r w:rsidR="00647B10" w:rsidRPr="00091CA4">
        <w:rPr>
          <w:rFonts w:ascii="Arial" w:hAnsi="Arial" w:cs="Arial"/>
          <w:sz w:val="15"/>
          <w:szCs w:val="15"/>
        </w:rPr>
        <w:t xml:space="preserve">. </w:t>
      </w:r>
      <w:proofErr w:type="spellStart"/>
      <w:r w:rsidR="00647B10" w:rsidRPr="00091CA4">
        <w:rPr>
          <w:rFonts w:ascii="Arial" w:hAnsi="Arial" w:cs="Arial"/>
          <w:sz w:val="15"/>
          <w:szCs w:val="15"/>
        </w:rPr>
        <w:t>Lett</w:t>
      </w:r>
      <w:proofErr w:type="spellEnd"/>
      <w:r w:rsidR="00647B10" w:rsidRPr="00091CA4">
        <w:rPr>
          <w:rFonts w:ascii="Arial" w:hAnsi="Arial" w:cs="Arial"/>
          <w:sz w:val="15"/>
          <w:szCs w:val="15"/>
        </w:rPr>
        <w:t xml:space="preserve">. </w:t>
      </w:r>
      <w:r w:rsidR="00647B10" w:rsidRPr="00091CA4">
        <w:rPr>
          <w:rFonts w:ascii="Arial" w:hAnsi="Arial" w:cs="Arial"/>
          <w:b/>
          <w:bCs/>
          <w:sz w:val="15"/>
          <w:szCs w:val="15"/>
        </w:rPr>
        <w:t>100</w:t>
      </w:r>
      <w:r w:rsidR="00647B10" w:rsidRPr="00091CA4">
        <w:rPr>
          <w:rFonts w:ascii="Arial" w:hAnsi="Arial" w:cs="Arial"/>
          <w:sz w:val="15"/>
          <w:szCs w:val="15"/>
        </w:rPr>
        <w:t>, 157202 (2008)</w:t>
      </w:r>
    </w:p>
    <w:p w14:paraId="5E8831B5" w14:textId="77777777" w:rsidR="00B23A26" w:rsidRPr="00091CA4" w:rsidRDefault="005166FE" w:rsidP="00B23A26">
      <w:pPr>
        <w:pStyle w:val="reference"/>
        <w:ind w:left="0" w:firstLine="0"/>
        <w:rPr>
          <w:rFonts w:ascii="Arial" w:hAnsi="Arial" w:cs="Arial"/>
          <w:sz w:val="15"/>
          <w:szCs w:val="15"/>
        </w:rPr>
      </w:pPr>
      <w:r w:rsidRPr="00B23A26">
        <w:rPr>
          <w:rFonts w:ascii="Arial" w:hAnsi="Arial" w:cs="Arial"/>
          <w:sz w:val="15"/>
          <w:szCs w:val="15"/>
        </w:rPr>
        <w:t>2</w:t>
      </w:r>
      <w:r w:rsidR="00B23A26" w:rsidRPr="00B23A26">
        <w:rPr>
          <w:rFonts w:ascii="Arial" w:hAnsi="Arial" w:cs="Arial"/>
          <w:sz w:val="15"/>
          <w:szCs w:val="15"/>
        </w:rPr>
        <w:t xml:space="preserve">. </w:t>
      </w:r>
      <w:r w:rsidR="00B23A26" w:rsidRPr="00647B10">
        <w:rPr>
          <w:rFonts w:ascii="Arial" w:hAnsi="Arial" w:cs="Arial"/>
          <w:sz w:val="15"/>
          <w:szCs w:val="15"/>
        </w:rPr>
        <w:t xml:space="preserve">J.-M. Tonnerre, </w:t>
      </w:r>
      <w:r w:rsidR="00B23A26" w:rsidRPr="00B23A26">
        <w:rPr>
          <w:rFonts w:ascii="Arial" w:hAnsi="Arial" w:cs="Arial"/>
          <w:i/>
          <w:iCs/>
          <w:sz w:val="15"/>
          <w:szCs w:val="15"/>
        </w:rPr>
        <w:t>et al.</w:t>
      </w:r>
      <w:r w:rsidR="00B23A26">
        <w:rPr>
          <w:rFonts w:ascii="Arial" w:hAnsi="Arial" w:cs="Arial"/>
          <w:sz w:val="15"/>
          <w:szCs w:val="15"/>
        </w:rPr>
        <w:t xml:space="preserve">, </w:t>
      </w:r>
      <w:proofErr w:type="spellStart"/>
      <w:r w:rsidR="00B23A26" w:rsidRPr="00B23A26">
        <w:rPr>
          <w:rFonts w:ascii="Arial" w:hAnsi="Arial" w:cs="Arial"/>
          <w:sz w:val="15"/>
          <w:szCs w:val="15"/>
        </w:rPr>
        <w:t>Eur</w:t>
      </w:r>
      <w:proofErr w:type="spellEnd"/>
      <w:r w:rsidR="00B23A26" w:rsidRPr="00B23A26">
        <w:rPr>
          <w:rFonts w:ascii="Arial" w:hAnsi="Arial" w:cs="Arial"/>
          <w:sz w:val="15"/>
          <w:szCs w:val="15"/>
        </w:rPr>
        <w:t xml:space="preserve">. </w:t>
      </w:r>
      <w:r w:rsidR="00B23A26" w:rsidRPr="00091CA4">
        <w:rPr>
          <w:rFonts w:ascii="Arial" w:hAnsi="Arial" w:cs="Arial"/>
          <w:sz w:val="15"/>
          <w:szCs w:val="15"/>
        </w:rPr>
        <w:t xml:space="preserve">Phys. J. </w:t>
      </w:r>
      <w:proofErr w:type="spellStart"/>
      <w:r w:rsidR="00B23A26" w:rsidRPr="00091CA4">
        <w:rPr>
          <w:rFonts w:ascii="Arial" w:hAnsi="Arial" w:cs="Arial"/>
          <w:sz w:val="15"/>
          <w:szCs w:val="15"/>
        </w:rPr>
        <w:t>Special</w:t>
      </w:r>
      <w:proofErr w:type="spellEnd"/>
      <w:r w:rsidR="00B23A26" w:rsidRPr="00091CA4">
        <w:rPr>
          <w:rFonts w:ascii="Arial" w:hAnsi="Arial" w:cs="Arial"/>
          <w:sz w:val="15"/>
          <w:szCs w:val="15"/>
        </w:rPr>
        <w:t xml:space="preserve"> Topics </w:t>
      </w:r>
      <w:r w:rsidR="00B23A26" w:rsidRPr="00091CA4">
        <w:rPr>
          <w:rFonts w:ascii="Arial" w:hAnsi="Arial" w:cs="Arial"/>
          <w:b/>
          <w:bCs/>
          <w:sz w:val="15"/>
          <w:szCs w:val="15"/>
        </w:rPr>
        <w:t>208</w:t>
      </w:r>
      <w:r w:rsidR="00B23A26" w:rsidRPr="00091CA4">
        <w:rPr>
          <w:rFonts w:ascii="Arial" w:hAnsi="Arial" w:cs="Arial"/>
          <w:sz w:val="15"/>
          <w:szCs w:val="15"/>
        </w:rPr>
        <w:t>, 177 (2012)</w:t>
      </w:r>
    </w:p>
    <w:p w14:paraId="29E7DB46" w14:textId="77777777" w:rsidR="002C4531" w:rsidRPr="00091CA4" w:rsidRDefault="005166FE" w:rsidP="002C4531">
      <w:pPr>
        <w:pStyle w:val="reference"/>
        <w:ind w:left="0" w:firstLine="0"/>
        <w:rPr>
          <w:rFonts w:ascii="Arial" w:hAnsi="Arial" w:cs="Arial"/>
          <w:sz w:val="15"/>
          <w:szCs w:val="15"/>
          <w:lang w:val="en-US"/>
        </w:rPr>
      </w:pPr>
      <w:r w:rsidRPr="002C4531">
        <w:rPr>
          <w:rFonts w:ascii="Arial" w:hAnsi="Arial" w:cs="Arial"/>
          <w:sz w:val="15"/>
          <w:szCs w:val="15"/>
        </w:rPr>
        <w:t xml:space="preserve">3. </w:t>
      </w:r>
      <w:r w:rsidR="002C4531" w:rsidRPr="00647B10">
        <w:rPr>
          <w:rFonts w:ascii="Arial" w:hAnsi="Arial" w:cs="Arial"/>
          <w:sz w:val="15"/>
          <w:szCs w:val="15"/>
        </w:rPr>
        <w:t xml:space="preserve">J.-M. Tonnerre, </w:t>
      </w:r>
      <w:r w:rsidR="002C4531" w:rsidRPr="00B23A26">
        <w:rPr>
          <w:rFonts w:ascii="Arial" w:hAnsi="Arial" w:cs="Arial"/>
          <w:i/>
          <w:iCs/>
          <w:sz w:val="15"/>
          <w:szCs w:val="15"/>
        </w:rPr>
        <w:t>et al.</w:t>
      </w:r>
      <w:r w:rsidR="002C4531">
        <w:rPr>
          <w:rFonts w:ascii="Arial" w:hAnsi="Arial" w:cs="Arial"/>
          <w:sz w:val="15"/>
          <w:szCs w:val="15"/>
        </w:rPr>
        <w:t xml:space="preserve">, </w:t>
      </w:r>
      <w:r w:rsidR="002C4531" w:rsidRPr="002C4531">
        <w:rPr>
          <w:rFonts w:ascii="Arial" w:hAnsi="Arial" w:cs="Arial"/>
          <w:sz w:val="15"/>
          <w:szCs w:val="15"/>
        </w:rPr>
        <w:t>P</w:t>
      </w:r>
      <w:r w:rsidR="002C4531">
        <w:rPr>
          <w:rFonts w:ascii="Arial" w:hAnsi="Arial" w:cs="Arial"/>
          <w:sz w:val="15"/>
          <w:szCs w:val="15"/>
        </w:rPr>
        <w:t>hys.</w:t>
      </w:r>
      <w:r w:rsidR="002C4531" w:rsidRPr="002C4531">
        <w:rPr>
          <w:rFonts w:ascii="Arial" w:hAnsi="Arial" w:cs="Arial"/>
          <w:sz w:val="15"/>
          <w:szCs w:val="15"/>
        </w:rPr>
        <w:t xml:space="preserve"> </w:t>
      </w:r>
      <w:r w:rsidR="002C4531" w:rsidRPr="00091CA4">
        <w:rPr>
          <w:rFonts w:ascii="Arial" w:hAnsi="Arial" w:cs="Arial"/>
          <w:sz w:val="15"/>
          <w:szCs w:val="15"/>
          <w:lang w:val="en-US"/>
        </w:rPr>
        <w:t xml:space="preserve">Rev. B </w:t>
      </w:r>
      <w:r w:rsidR="002C4531" w:rsidRPr="00091CA4">
        <w:rPr>
          <w:rFonts w:ascii="Arial" w:hAnsi="Arial" w:cs="Arial"/>
          <w:b/>
          <w:bCs/>
          <w:sz w:val="15"/>
          <w:szCs w:val="15"/>
          <w:lang w:val="en-US"/>
        </w:rPr>
        <w:t>84</w:t>
      </w:r>
      <w:r w:rsidR="002C4531" w:rsidRPr="00091CA4">
        <w:rPr>
          <w:rFonts w:ascii="Arial" w:hAnsi="Arial" w:cs="Arial"/>
          <w:sz w:val="15"/>
          <w:szCs w:val="15"/>
          <w:lang w:val="en-US"/>
        </w:rPr>
        <w:t>, 100407(R) (2011)</w:t>
      </w:r>
    </w:p>
    <w:p w14:paraId="3ED3E332" w14:textId="77777777" w:rsidR="005166FE" w:rsidRPr="00091CA4" w:rsidRDefault="005166FE" w:rsidP="002C4531">
      <w:pPr>
        <w:pStyle w:val="reference"/>
        <w:ind w:left="0" w:firstLine="0"/>
        <w:rPr>
          <w:rFonts w:ascii="Arial" w:hAnsi="Arial" w:cs="Arial"/>
          <w:sz w:val="15"/>
          <w:szCs w:val="15"/>
          <w:lang w:val="en-US"/>
        </w:rPr>
      </w:pPr>
      <w:r w:rsidRPr="00721513">
        <w:rPr>
          <w:rFonts w:ascii="Arial" w:hAnsi="Arial" w:cs="Arial"/>
          <w:sz w:val="15"/>
          <w:szCs w:val="15"/>
          <w:lang w:val="en-US"/>
        </w:rPr>
        <w:t>4.</w:t>
      </w:r>
      <w:r w:rsidRPr="00091CA4">
        <w:rPr>
          <w:rFonts w:ascii="Arial" w:hAnsi="Arial" w:cs="Arial"/>
          <w:sz w:val="15"/>
          <w:szCs w:val="15"/>
          <w:lang w:val="en-US"/>
        </w:rPr>
        <w:t xml:space="preserve"> </w:t>
      </w:r>
      <w:r w:rsidR="00647B10" w:rsidRPr="00091CA4">
        <w:rPr>
          <w:rFonts w:ascii="Arial" w:hAnsi="Arial" w:cs="Arial"/>
          <w:sz w:val="15"/>
          <w:szCs w:val="15"/>
          <w:lang w:val="en-US"/>
        </w:rPr>
        <w:t>V. Bansa</w:t>
      </w:r>
      <w:r w:rsidR="00B23A26" w:rsidRPr="00091CA4">
        <w:rPr>
          <w:rFonts w:ascii="Arial" w:hAnsi="Arial" w:cs="Arial"/>
          <w:sz w:val="15"/>
          <w:szCs w:val="15"/>
          <w:lang w:val="en-US"/>
        </w:rPr>
        <w:t xml:space="preserve">l </w:t>
      </w:r>
      <w:r w:rsidR="00B23A26" w:rsidRPr="00091CA4">
        <w:rPr>
          <w:rFonts w:ascii="Arial" w:hAnsi="Arial" w:cs="Arial"/>
          <w:i/>
          <w:iCs/>
          <w:sz w:val="15"/>
          <w:szCs w:val="15"/>
          <w:lang w:val="en-US"/>
        </w:rPr>
        <w:t>et al.,</w:t>
      </w:r>
      <w:r w:rsidR="00B23A26" w:rsidRPr="00091CA4">
        <w:rPr>
          <w:rFonts w:ascii="Arial" w:hAnsi="Arial" w:cs="Arial"/>
          <w:sz w:val="15"/>
          <w:szCs w:val="15"/>
          <w:lang w:val="en-US"/>
        </w:rPr>
        <w:t xml:space="preserve"> </w:t>
      </w:r>
      <w:r w:rsidR="008425B0" w:rsidRPr="00091CA4">
        <w:rPr>
          <w:rFonts w:ascii="Arial" w:hAnsi="Arial" w:cs="Arial"/>
          <w:sz w:val="15"/>
          <w:szCs w:val="15"/>
          <w:lang w:val="en-US"/>
        </w:rPr>
        <w:t xml:space="preserve">AIP Advances </w:t>
      </w:r>
      <w:r w:rsidR="008425B0" w:rsidRPr="00091CA4">
        <w:rPr>
          <w:rFonts w:ascii="Arial" w:hAnsi="Arial" w:cs="Arial"/>
          <w:b/>
          <w:bCs/>
          <w:sz w:val="15"/>
          <w:szCs w:val="15"/>
          <w:lang w:val="en-US"/>
        </w:rPr>
        <w:t>12</w:t>
      </w:r>
      <w:r w:rsidR="008425B0" w:rsidRPr="00091CA4">
        <w:rPr>
          <w:rFonts w:ascii="Arial" w:hAnsi="Arial" w:cs="Arial"/>
          <w:sz w:val="15"/>
          <w:szCs w:val="15"/>
          <w:lang w:val="en-US"/>
        </w:rPr>
        <w:t>, 035129 (2022)</w:t>
      </w:r>
    </w:p>
    <w:p w14:paraId="61BFDC0A" w14:textId="77777777" w:rsidR="00721513" w:rsidRPr="00AD6992" w:rsidRDefault="00721513" w:rsidP="00721513">
      <w:pPr>
        <w:pStyle w:val="reference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5. </w:t>
      </w:r>
      <w:r w:rsidRPr="00AD6992">
        <w:rPr>
          <w:rFonts w:ascii="Arial" w:hAnsi="Arial" w:cs="Arial"/>
          <w:sz w:val="15"/>
          <w:szCs w:val="15"/>
        </w:rPr>
        <w:t xml:space="preserve">J.Y. </w:t>
      </w:r>
      <w:proofErr w:type="spellStart"/>
      <w:r w:rsidRPr="00AD6992">
        <w:rPr>
          <w:rFonts w:ascii="Arial" w:hAnsi="Arial" w:cs="Arial"/>
          <w:sz w:val="15"/>
          <w:szCs w:val="15"/>
        </w:rPr>
        <w:t>Chauleau</w:t>
      </w:r>
      <w:proofErr w:type="spellEnd"/>
      <w:r w:rsidRPr="00AD6992">
        <w:rPr>
          <w:rFonts w:ascii="Arial" w:hAnsi="Arial" w:cs="Arial"/>
          <w:sz w:val="15"/>
          <w:szCs w:val="15"/>
        </w:rPr>
        <w:t xml:space="preserve"> </w:t>
      </w:r>
      <w:r w:rsidRPr="005510FF">
        <w:rPr>
          <w:rFonts w:ascii="Arial" w:hAnsi="Arial" w:cs="Arial"/>
          <w:i/>
          <w:iCs/>
          <w:sz w:val="15"/>
          <w:szCs w:val="15"/>
        </w:rPr>
        <w:t>et al.,</w:t>
      </w:r>
      <w:r w:rsidRPr="00AD6992">
        <w:rPr>
          <w:rFonts w:ascii="Arial" w:hAnsi="Arial" w:cs="Arial"/>
          <w:sz w:val="15"/>
          <w:szCs w:val="15"/>
        </w:rPr>
        <w:t xml:space="preserve"> Phys</w:t>
      </w:r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>
        <w:rPr>
          <w:rFonts w:ascii="Arial" w:hAnsi="Arial" w:cs="Arial"/>
          <w:sz w:val="15"/>
          <w:szCs w:val="15"/>
        </w:rPr>
        <w:t>Rev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proofErr w:type="spellStart"/>
      <w:r>
        <w:rPr>
          <w:rFonts w:ascii="Arial" w:hAnsi="Arial" w:cs="Arial"/>
          <w:sz w:val="15"/>
          <w:szCs w:val="15"/>
        </w:rPr>
        <w:t>Lett</w:t>
      </w:r>
      <w:proofErr w:type="spellEnd"/>
      <w:r>
        <w:rPr>
          <w:rFonts w:ascii="Arial" w:hAnsi="Arial" w:cs="Arial"/>
          <w:sz w:val="15"/>
          <w:szCs w:val="15"/>
        </w:rPr>
        <w:t xml:space="preserve">. </w:t>
      </w:r>
      <w:r w:rsidRPr="00B23A26">
        <w:rPr>
          <w:rFonts w:ascii="Arial" w:hAnsi="Arial" w:cs="Arial"/>
          <w:b/>
          <w:bCs/>
          <w:sz w:val="15"/>
          <w:szCs w:val="15"/>
        </w:rPr>
        <w:t>120</w:t>
      </w:r>
      <w:r>
        <w:rPr>
          <w:rFonts w:ascii="Arial" w:hAnsi="Arial" w:cs="Arial"/>
          <w:sz w:val="15"/>
          <w:szCs w:val="15"/>
        </w:rPr>
        <w:t>, 037202 (2018)</w:t>
      </w:r>
    </w:p>
    <w:sectPr w:rsidR="00721513" w:rsidRPr="00A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E40B" w14:textId="77777777" w:rsidR="00F33FF4" w:rsidRDefault="00F33FF4" w:rsidP="00647B10">
      <w:r>
        <w:separator/>
      </w:r>
    </w:p>
  </w:endnote>
  <w:endnote w:type="continuationSeparator" w:id="0">
    <w:p w14:paraId="6287544D" w14:textId="77777777" w:rsidR="00F33FF4" w:rsidRDefault="00F33FF4" w:rsidP="0064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F2F4" w14:textId="77777777" w:rsidR="00F33FF4" w:rsidRDefault="00F33FF4" w:rsidP="00647B10">
      <w:r>
        <w:separator/>
      </w:r>
    </w:p>
  </w:footnote>
  <w:footnote w:type="continuationSeparator" w:id="0">
    <w:p w14:paraId="108F10FA" w14:textId="77777777" w:rsidR="00F33FF4" w:rsidRDefault="00F33FF4" w:rsidP="0064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FE"/>
    <w:rsid w:val="000108C6"/>
    <w:rsid w:val="00041ED8"/>
    <w:rsid w:val="00091CA4"/>
    <w:rsid w:val="001A09F6"/>
    <w:rsid w:val="001B1861"/>
    <w:rsid w:val="001B26F0"/>
    <w:rsid w:val="001B4D68"/>
    <w:rsid w:val="001E3746"/>
    <w:rsid w:val="00203A44"/>
    <w:rsid w:val="002162ED"/>
    <w:rsid w:val="00231B20"/>
    <w:rsid w:val="00276DC0"/>
    <w:rsid w:val="00297F1D"/>
    <w:rsid w:val="002C4403"/>
    <w:rsid w:val="002C4531"/>
    <w:rsid w:val="002E40F1"/>
    <w:rsid w:val="00315E67"/>
    <w:rsid w:val="003764B1"/>
    <w:rsid w:val="003A5C32"/>
    <w:rsid w:val="003C165F"/>
    <w:rsid w:val="003F50AD"/>
    <w:rsid w:val="005166FE"/>
    <w:rsid w:val="005236A3"/>
    <w:rsid w:val="005510FF"/>
    <w:rsid w:val="005D5D63"/>
    <w:rsid w:val="005E5086"/>
    <w:rsid w:val="005F1AEC"/>
    <w:rsid w:val="00601DEC"/>
    <w:rsid w:val="00601ECF"/>
    <w:rsid w:val="0063764B"/>
    <w:rsid w:val="006477D0"/>
    <w:rsid w:val="00647B10"/>
    <w:rsid w:val="00721513"/>
    <w:rsid w:val="007316CE"/>
    <w:rsid w:val="0075071C"/>
    <w:rsid w:val="007714AD"/>
    <w:rsid w:val="007E7378"/>
    <w:rsid w:val="008425B0"/>
    <w:rsid w:val="00866B97"/>
    <w:rsid w:val="008D4E08"/>
    <w:rsid w:val="0091292E"/>
    <w:rsid w:val="009F014D"/>
    <w:rsid w:val="00A165A8"/>
    <w:rsid w:val="00A36073"/>
    <w:rsid w:val="00A60DD8"/>
    <w:rsid w:val="00A649CD"/>
    <w:rsid w:val="00A95460"/>
    <w:rsid w:val="00AB1846"/>
    <w:rsid w:val="00B06DCF"/>
    <w:rsid w:val="00B23A26"/>
    <w:rsid w:val="00BB021F"/>
    <w:rsid w:val="00BD4837"/>
    <w:rsid w:val="00C24E42"/>
    <w:rsid w:val="00C86F1E"/>
    <w:rsid w:val="00CA58C1"/>
    <w:rsid w:val="00CF36A0"/>
    <w:rsid w:val="00D37EFC"/>
    <w:rsid w:val="00DF3681"/>
    <w:rsid w:val="00E30A4A"/>
    <w:rsid w:val="00F33FF4"/>
    <w:rsid w:val="00F437A3"/>
    <w:rsid w:val="00F62B0F"/>
    <w:rsid w:val="00F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F39CD"/>
  <w15:chartTrackingRefBased/>
  <w15:docId w15:val="{B0F174B1-C27C-430E-A8C2-12251D8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5166FE"/>
    <w:pPr>
      <w:keepNext/>
      <w:spacing w:before="240" w:after="240"/>
      <w:jc w:val="center"/>
      <w:outlineLvl w:val="0"/>
    </w:pPr>
    <w:rPr>
      <w:b/>
      <w:bCs/>
      <w:caps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pertitle">
    <w:name w:val="papertitle"/>
    <w:basedOn w:val="Normal"/>
    <w:rsid w:val="005166FE"/>
    <w:pPr>
      <w:spacing w:before="960"/>
      <w:jc w:val="center"/>
    </w:pPr>
    <w:rPr>
      <w:b/>
      <w:bCs/>
      <w:sz w:val="36"/>
      <w:szCs w:val="36"/>
    </w:rPr>
  </w:style>
  <w:style w:type="paragraph" w:customStyle="1" w:styleId="paperauthor">
    <w:name w:val="paperauthor"/>
    <w:basedOn w:val="Normal"/>
    <w:rsid w:val="005166FE"/>
    <w:pPr>
      <w:spacing w:before="360" w:after="360"/>
      <w:jc w:val="center"/>
    </w:pPr>
    <w:rPr>
      <w:sz w:val="28"/>
      <w:szCs w:val="28"/>
    </w:rPr>
  </w:style>
  <w:style w:type="paragraph" w:customStyle="1" w:styleId="authoraffiliation">
    <w:name w:val="authoraffiliation"/>
    <w:basedOn w:val="Normal"/>
    <w:rsid w:val="005166FE"/>
    <w:pPr>
      <w:jc w:val="center"/>
    </w:pPr>
    <w:rPr>
      <w:i/>
      <w:iCs/>
      <w:sz w:val="20"/>
      <w:szCs w:val="20"/>
    </w:rPr>
  </w:style>
  <w:style w:type="paragraph" w:customStyle="1" w:styleId="paragraph">
    <w:name w:val="paragraph"/>
    <w:basedOn w:val="Normal"/>
    <w:rsid w:val="005166FE"/>
    <w:pPr>
      <w:ind w:firstLine="274"/>
      <w:jc w:val="both"/>
    </w:pPr>
    <w:rPr>
      <w:sz w:val="20"/>
      <w:szCs w:val="20"/>
    </w:rPr>
  </w:style>
  <w:style w:type="paragraph" w:customStyle="1" w:styleId="reference">
    <w:name w:val="reference"/>
    <w:basedOn w:val="Normal"/>
    <w:rsid w:val="005166FE"/>
    <w:pPr>
      <w:ind w:left="274" w:hanging="274"/>
      <w:jc w:val="both"/>
    </w:pPr>
    <w:rPr>
      <w:sz w:val="18"/>
      <w:szCs w:val="18"/>
    </w:rPr>
  </w:style>
  <w:style w:type="paragraph" w:customStyle="1" w:styleId="equation">
    <w:name w:val="equation"/>
    <w:basedOn w:val="Normal"/>
    <w:rsid w:val="005166FE"/>
    <w:pPr>
      <w:jc w:val="both"/>
    </w:pPr>
    <w:rPr>
      <w:sz w:val="20"/>
      <w:szCs w:val="20"/>
    </w:rPr>
  </w:style>
  <w:style w:type="table" w:styleId="Grilledutableau">
    <w:name w:val="Table Grid"/>
    <w:basedOn w:val="TableauNormal"/>
    <w:rsid w:val="003F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47B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7B10"/>
    <w:rPr>
      <w:sz w:val="24"/>
      <w:szCs w:val="24"/>
    </w:rPr>
  </w:style>
  <w:style w:type="paragraph" w:styleId="Pieddepage">
    <w:name w:val="footer"/>
    <w:basedOn w:val="Normal"/>
    <w:link w:val="PieddepageCar"/>
    <w:rsid w:val="00647B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47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RAISS~1\LOCALS~1\Temp\TEMPLATE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</Template>
  <TotalTime>0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The Title Goes Here With Each Initial Letter Capitalized</vt:lpstr>
      <vt:lpstr>The Title Goes Here With Each Initial Letter Capitalized</vt:lpstr>
      <vt:lpstr>The Title Goes Here With Each Initial Letter Capitalized</vt:lpstr>
    </vt:vector>
  </TitlesOfParts>
  <Company>Synchrotron SOLEIL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 With Each Initial Letter Capitalized</dc:title>
  <dc:subject/>
  <dc:creator>subias</dc:creator>
  <cp:keywords/>
  <cp:lastModifiedBy>jean-marc.tonnerre</cp:lastModifiedBy>
  <cp:revision>2</cp:revision>
  <cp:lastPrinted>2025-05-05T14:28:00Z</cp:lastPrinted>
  <dcterms:created xsi:type="dcterms:W3CDTF">2025-05-05T15:00:00Z</dcterms:created>
  <dcterms:modified xsi:type="dcterms:W3CDTF">2025-05-05T15:00:00Z</dcterms:modified>
</cp:coreProperties>
</file>